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BF71" w14:textId="77777777" w:rsidR="00DE7884" w:rsidRPr="000809F3" w:rsidRDefault="00DE7884" w:rsidP="00DE7884">
      <w:pPr>
        <w:jc w:val="both"/>
        <w:rPr>
          <w:rFonts w:ascii="Courier" w:hAnsi="Courier" w:cs="Courier"/>
          <w:b/>
          <w:sz w:val="22"/>
          <w:szCs w:val="22"/>
          <w:u w:val="single"/>
        </w:rPr>
      </w:pPr>
      <w:bookmarkStart w:id="0" w:name="_GoBack"/>
      <w:bookmarkEnd w:id="0"/>
      <w:r w:rsidRPr="000809F3">
        <w:rPr>
          <w:rFonts w:ascii="Courier" w:hAnsi="Courier" w:cs="Courier"/>
          <w:b/>
          <w:sz w:val="22"/>
          <w:szCs w:val="22"/>
          <w:u w:val="single"/>
        </w:rPr>
        <w:t>R307.  Environmental Quality, Air Quality.</w:t>
      </w:r>
    </w:p>
    <w:p w14:paraId="3B4B42E5" w14:textId="77777777" w:rsidR="00DE7884" w:rsidRPr="000809F3" w:rsidRDefault="00DE7884" w:rsidP="00DE7884">
      <w:pPr>
        <w:jc w:val="both"/>
        <w:rPr>
          <w:rFonts w:ascii="Courier" w:hAnsi="Courier" w:cs="Courier"/>
          <w:b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R307-313.  VOC and Blue Smoke Controls for Hot Mix Asphalt Plants</w:t>
      </w:r>
    </w:p>
    <w:p w14:paraId="515213F2" w14:textId="77777777" w:rsidR="00DE7884" w:rsidRPr="000809F3" w:rsidRDefault="00DE7884" w:rsidP="00DE7884">
      <w:pPr>
        <w:jc w:val="both"/>
        <w:rPr>
          <w:rFonts w:ascii="Courier" w:hAnsi="Courier" w:cs="Courier"/>
          <w:b/>
          <w:sz w:val="22"/>
          <w:szCs w:val="22"/>
          <w:u w:val="single"/>
        </w:rPr>
      </w:pPr>
    </w:p>
    <w:p w14:paraId="54D41310" w14:textId="77777777" w:rsidR="00DE7884" w:rsidRPr="000809F3" w:rsidRDefault="00DE7884" w:rsidP="00DE7884">
      <w:pPr>
        <w:jc w:val="both"/>
        <w:rPr>
          <w:rFonts w:ascii="Courier" w:hAnsi="Courier" w:cs="Courier"/>
          <w:b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R307-313-1.  Purpose.</w:t>
      </w:r>
    </w:p>
    <w:p w14:paraId="66EC3915" w14:textId="33DA628D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  <w:t xml:space="preserve">Rule R307-313 establishes emission controls and work practice standards for the emissions of blue smoke and volatile organic compounds (VOC) from hot mix asphalt plants and associated oil storage tanks. </w:t>
      </w:r>
    </w:p>
    <w:p w14:paraId="0F56C687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0F0AF21A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R307-313-2 Applicability.</w:t>
      </w:r>
    </w:p>
    <w:p w14:paraId="31F686BE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  <w:t>Rule R307-313 applies to stationary</w:t>
      </w:r>
      <w:r>
        <w:rPr>
          <w:rFonts w:ascii="Courier" w:hAnsi="Courier" w:cs="Courier"/>
          <w:sz w:val="22"/>
          <w:szCs w:val="22"/>
          <w:u w:val="single"/>
        </w:rPr>
        <w:t xml:space="preserve"> hot mix asphalt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plants and their associated oil storage tanks located in Salt Lake, Davis, Weber,</w:t>
      </w:r>
      <w:r>
        <w:rPr>
          <w:rFonts w:ascii="Courier" w:hAnsi="Courier" w:cs="Courier"/>
          <w:sz w:val="22"/>
          <w:szCs w:val="22"/>
          <w:u w:val="single"/>
        </w:rPr>
        <w:t xml:space="preserve"> Utah,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and Tooele counties with an annual production level greater than or equal to 75,000 tons of hot mix asphalt per rolling 12-month period. </w:t>
      </w:r>
    </w:p>
    <w:p w14:paraId="599C02CF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5124AC98" w14:textId="77777777" w:rsidR="00DE7884" w:rsidRPr="000809F3" w:rsidRDefault="00DE7884" w:rsidP="00DE7884">
      <w:pPr>
        <w:jc w:val="both"/>
        <w:rPr>
          <w:rFonts w:ascii="Courier" w:hAnsi="Courier" w:cs="Courier"/>
          <w:b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R307-313-3 Definitions.</w:t>
      </w:r>
    </w:p>
    <w:p w14:paraId="06FE248E" w14:textId="77777777" w:rsidR="00DE7884" w:rsidRPr="000809F3" w:rsidRDefault="00DE7884" w:rsidP="00DE7884">
      <w:pPr>
        <w:jc w:val="both"/>
        <w:rPr>
          <w:rFonts w:ascii="Courier" w:hAnsi="Courier" w:cs="Courier"/>
          <w:b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ab/>
      </w:r>
      <w:r w:rsidRPr="000809F3">
        <w:rPr>
          <w:rFonts w:ascii="Courier" w:hAnsi="Courier" w:cs="Courier"/>
          <w:sz w:val="22"/>
          <w:szCs w:val="22"/>
          <w:u w:val="single"/>
        </w:rPr>
        <w:t>Terms defined in Section 307-312-3 are incorporated by reference</w:t>
      </w:r>
      <w:r w:rsidR="00D507CD">
        <w:rPr>
          <w:rFonts w:ascii="Courier" w:hAnsi="Courier" w:cs="Courier"/>
          <w:sz w:val="22"/>
          <w:szCs w:val="22"/>
          <w:u w:val="single"/>
        </w:rPr>
        <w:t>.</w:t>
      </w:r>
    </w:p>
    <w:p w14:paraId="5ECD0D30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7B7FCDB7" w14:textId="77777777" w:rsidR="00DE7884" w:rsidRPr="000809F3" w:rsidRDefault="00DE7884" w:rsidP="00DE7884">
      <w:pPr>
        <w:jc w:val="both"/>
        <w:rPr>
          <w:rFonts w:ascii="Courier" w:hAnsi="Courier" w:cs="Courier"/>
          <w:b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  <w:t xml:space="preserve">“Blue smoke” means a mixture of visible emissions and VOC emissions from HMA plants that results from the process of mixing hot oil with aggregate. </w:t>
      </w:r>
    </w:p>
    <w:p w14:paraId="7103D92B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3BAF31D8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  <w:t xml:space="preserve">“Dryer” means a piece of machinery where aggregate is dried and heated during the asphalt manufacturing process, usually drum or cylinder shaped. </w:t>
      </w:r>
    </w:p>
    <w:p w14:paraId="4B18029C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7328FE06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  <w:t>“Load out” means an area used for the loading of material from a silo or a batch tower into a truck or train or other means of transport</w:t>
      </w:r>
      <w:r>
        <w:rPr>
          <w:rFonts w:ascii="Courier" w:hAnsi="Courier" w:cs="Courier"/>
          <w:sz w:val="22"/>
          <w:szCs w:val="22"/>
          <w:u w:val="single"/>
        </w:rPr>
        <w:t>,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often located under a sil</w:t>
      </w:r>
      <w:r>
        <w:rPr>
          <w:rFonts w:ascii="Courier" w:hAnsi="Courier" w:cs="Courier"/>
          <w:sz w:val="22"/>
          <w:szCs w:val="22"/>
          <w:u w:val="single"/>
        </w:rPr>
        <w:t>o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. </w:t>
      </w:r>
    </w:p>
    <w:p w14:paraId="06A626D7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2F2CC6EB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  <w:t xml:space="preserve">“Silo” means a tower used to store material. </w:t>
      </w:r>
    </w:p>
    <w:p w14:paraId="63D803C7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7115E466" w14:textId="77777777" w:rsidR="00DE7884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  <w:t xml:space="preserve">“Storage tank” means any storage vessel where oils are heated and stored before mixing with aggregate. </w:t>
      </w:r>
    </w:p>
    <w:p w14:paraId="6FE8079A" w14:textId="77777777" w:rsidR="00DE7884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3378842D" w14:textId="77777777" w:rsidR="00DE7884" w:rsidRPr="000809F3" w:rsidRDefault="00DE7884" w:rsidP="00DE7884">
      <w:pPr>
        <w:ind w:firstLine="720"/>
        <w:jc w:val="both"/>
        <w:rPr>
          <w:rFonts w:ascii="Courier" w:hAnsi="Courier" w:cs="Courier"/>
          <w:sz w:val="22"/>
          <w:szCs w:val="22"/>
          <w:u w:val="single"/>
        </w:rPr>
      </w:pPr>
      <w:r>
        <w:rPr>
          <w:rFonts w:ascii="Courier New" w:hAnsi="Courier New" w:cs="Courier New"/>
          <w:color w:val="000000"/>
          <w:sz w:val="22"/>
          <w:szCs w:val="22"/>
          <w:u w:val="single"/>
        </w:rPr>
        <w:t>“Warm mix asphalt” means asphalt produced at a temperature at or below 275 degrees F (135 degrees c).</w:t>
      </w:r>
    </w:p>
    <w:p w14:paraId="3173751C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356086F1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R307-313-4.  Blue Smoke</w:t>
      </w:r>
      <w:r>
        <w:rPr>
          <w:rFonts w:ascii="Courier" w:hAnsi="Courier" w:cs="Courier"/>
          <w:b/>
          <w:sz w:val="22"/>
          <w:szCs w:val="22"/>
          <w:u w:val="single"/>
        </w:rPr>
        <w:t xml:space="preserve"> and VOC</w:t>
      </w:r>
      <w:r w:rsidRPr="000809F3">
        <w:rPr>
          <w:rFonts w:ascii="Courier" w:hAnsi="Courier" w:cs="Courier"/>
          <w:b/>
          <w:sz w:val="22"/>
          <w:szCs w:val="22"/>
          <w:u w:val="single"/>
        </w:rPr>
        <w:t xml:space="preserve"> Emissions from </w:t>
      </w:r>
      <w:r>
        <w:rPr>
          <w:rFonts w:ascii="Courier" w:hAnsi="Courier" w:cs="Courier"/>
          <w:b/>
          <w:sz w:val="22"/>
          <w:szCs w:val="22"/>
          <w:u w:val="single"/>
        </w:rPr>
        <w:t>Hot Mix Asphalt</w:t>
      </w:r>
      <w:r w:rsidRPr="000809F3">
        <w:rPr>
          <w:rFonts w:ascii="Courier" w:hAnsi="Courier" w:cs="Courier"/>
          <w:b/>
          <w:sz w:val="22"/>
          <w:szCs w:val="22"/>
          <w:u w:val="single"/>
        </w:rPr>
        <w:t xml:space="preserve"> Plant</w:t>
      </w:r>
      <w:r w:rsidR="00D507CD">
        <w:rPr>
          <w:rFonts w:ascii="Courier" w:hAnsi="Courier" w:cs="Courier"/>
          <w:b/>
          <w:sz w:val="22"/>
          <w:szCs w:val="22"/>
          <w:u w:val="single"/>
        </w:rPr>
        <w:t>s</w:t>
      </w:r>
      <w:r w:rsidRPr="000809F3">
        <w:rPr>
          <w:rFonts w:ascii="Courier" w:hAnsi="Courier" w:cs="Courier"/>
          <w:b/>
          <w:sz w:val="22"/>
          <w:szCs w:val="22"/>
          <w:u w:val="single"/>
        </w:rPr>
        <w:t>.</w:t>
      </w:r>
    </w:p>
    <w:p w14:paraId="5325A83C" w14:textId="2FD37620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1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The owner or operator shall install emission capture and </w:t>
      </w:r>
      <w:r w:rsidR="008C4B08">
        <w:rPr>
          <w:rFonts w:ascii="Courier" w:hAnsi="Courier" w:cs="Courier"/>
          <w:sz w:val="22"/>
          <w:szCs w:val="22"/>
          <w:u w:val="single"/>
        </w:rPr>
        <w:t xml:space="preserve">control </w:t>
      </w:r>
      <w:r w:rsidRPr="000809F3">
        <w:rPr>
          <w:rFonts w:ascii="Courier" w:hAnsi="Courier" w:cs="Courier"/>
          <w:sz w:val="22"/>
          <w:szCs w:val="22"/>
          <w:u w:val="single"/>
        </w:rPr>
        <w:t>systems that capture and reduce blue smoke emissions from dryers, conveyors, silos, and load out areas. The owner or operator shall operate emission capture</w:t>
      </w:r>
      <w:r>
        <w:rPr>
          <w:rFonts w:ascii="Courier" w:hAnsi="Courier" w:cs="Courier"/>
          <w:sz w:val="22"/>
          <w:szCs w:val="22"/>
          <w:u w:val="single"/>
        </w:rPr>
        <w:t xml:space="preserve"> and </w:t>
      </w:r>
      <w:r w:rsidR="008C4B08">
        <w:rPr>
          <w:rFonts w:ascii="Courier" w:hAnsi="Courier" w:cs="Courier"/>
          <w:sz w:val="22"/>
          <w:szCs w:val="22"/>
          <w:u w:val="single"/>
        </w:rPr>
        <w:t xml:space="preserve">control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systems at all times during the production of hot mix asphalt products.  Emission capture and </w:t>
      </w:r>
      <w:r w:rsidR="008C4B08">
        <w:rPr>
          <w:rFonts w:ascii="Courier" w:hAnsi="Courier" w:cs="Courier"/>
          <w:sz w:val="22"/>
          <w:szCs w:val="22"/>
          <w:u w:val="single"/>
        </w:rPr>
        <w:t xml:space="preserve">control </w:t>
      </w:r>
      <w:r w:rsidRPr="000809F3">
        <w:rPr>
          <w:rFonts w:ascii="Courier" w:hAnsi="Courier" w:cs="Courier"/>
          <w:sz w:val="22"/>
          <w:szCs w:val="22"/>
          <w:u w:val="single"/>
        </w:rPr>
        <w:t>systems shall also reduce VOC emissions from captured blue</w:t>
      </w:r>
      <w:r w:rsidR="00EF63CE">
        <w:rPr>
          <w:rFonts w:ascii="Courier" w:hAnsi="Courier" w:cs="Courier"/>
          <w:sz w:val="22"/>
          <w:szCs w:val="22"/>
          <w:u w:val="single"/>
        </w:rPr>
        <w:t xml:space="preserve"> smoke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</w:t>
      </w:r>
      <w:r>
        <w:rPr>
          <w:rFonts w:ascii="Courier" w:hAnsi="Courier" w:cs="Courier"/>
          <w:sz w:val="22"/>
          <w:szCs w:val="22"/>
          <w:u w:val="single"/>
        </w:rPr>
        <w:t>as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verified by the manufacturer of control systems upon installation. </w:t>
      </w:r>
    </w:p>
    <w:p w14:paraId="66B3FA15" w14:textId="4EE12EF6" w:rsidR="00DE7884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2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. 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Visible emissions from emission points subject to Rule R307-313-4 shall not exceed opacity limits of 10% at emission points covered by Section R307-313-4 as measured according to 40 CFR 60, Appendix A, Method 9.  </w:t>
      </w:r>
    </w:p>
    <w:p w14:paraId="218DF43D" w14:textId="79C80DC3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>
        <w:rPr>
          <w:rFonts w:ascii="Courier New" w:hAnsi="Courier New" w:cs="Courier New"/>
          <w:color w:val="000000"/>
          <w:sz w:val="22"/>
          <w:szCs w:val="22"/>
          <w:u w:val="single"/>
        </w:rPr>
        <w:t>3</w:t>
      </w:r>
      <w:r w:rsidR="00F2052A">
        <w:rPr>
          <w:rFonts w:ascii="Courier New" w:hAnsi="Courier New" w:cs="Courier New"/>
          <w:color w:val="000000"/>
          <w:sz w:val="22"/>
          <w:szCs w:val="22"/>
          <w:u w:val="single"/>
        </w:rPr>
        <w:t>)</w:t>
      </w:r>
      <w:r>
        <w:rPr>
          <w:rFonts w:ascii="Courier New" w:hAnsi="Courier New" w:cs="Courier New"/>
          <w:color w:val="000000"/>
          <w:sz w:val="22"/>
          <w:szCs w:val="22"/>
          <w:u w:val="single"/>
        </w:rPr>
        <w:t>.</w:t>
      </w:r>
      <w:r w:rsidR="00F2052A">
        <w:rPr>
          <w:rFonts w:ascii="Courier New" w:hAnsi="Courier New" w:cs="Courier New"/>
          <w:color w:val="000000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u w:val="single"/>
        </w:rPr>
        <w:t xml:space="preserve"> Owners or operators whose production consists entirely of warm mix asphalt shall be exempt from the provisions in Section R307-313-4.</w:t>
      </w:r>
    </w:p>
    <w:p w14:paraId="5DDF7E42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61FB895C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09D17108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R307-313-5.  VOC Emissions from Storage Tanks.</w:t>
      </w:r>
    </w:p>
    <w:p w14:paraId="42E9F4E1" w14:textId="4F67D48B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1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</w:t>
      </w:r>
      <w:r>
        <w:rPr>
          <w:rFonts w:ascii="Courier" w:hAnsi="Courier" w:cs="Courier"/>
          <w:sz w:val="22"/>
          <w:szCs w:val="22"/>
          <w:u w:val="single"/>
        </w:rPr>
        <w:t>S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torage tanks shall be equipped with VOC capture and control </w:t>
      </w:r>
      <w:r w:rsidR="00D507CD">
        <w:rPr>
          <w:rFonts w:ascii="Courier" w:hAnsi="Courier" w:cs="Courier"/>
          <w:sz w:val="22"/>
          <w:szCs w:val="22"/>
          <w:u w:val="single"/>
        </w:rPr>
        <w:t xml:space="preserve">systems </w:t>
      </w:r>
      <w:r w:rsidRPr="000809F3">
        <w:rPr>
          <w:rFonts w:ascii="Courier" w:hAnsi="Courier" w:cs="Courier"/>
          <w:sz w:val="22"/>
          <w:szCs w:val="22"/>
          <w:u w:val="single"/>
        </w:rPr>
        <w:t>such as a condenser and a carbon-filled vessel</w:t>
      </w:r>
      <w:r>
        <w:rPr>
          <w:rFonts w:ascii="Courier" w:hAnsi="Courier" w:cs="Courier"/>
          <w:sz w:val="22"/>
          <w:szCs w:val="22"/>
          <w:u w:val="single"/>
        </w:rPr>
        <w:t xml:space="preserve"> which shall reduce VOC emissions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as verified by the manufacturer of </w:t>
      </w:r>
      <w:r w:rsidR="00D507CD">
        <w:rPr>
          <w:rFonts w:ascii="Courier" w:hAnsi="Courier" w:cs="Courier"/>
          <w:sz w:val="22"/>
          <w:szCs w:val="22"/>
          <w:u w:val="single"/>
        </w:rPr>
        <w:t xml:space="preserve">capture and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control systems upon installation. </w:t>
      </w:r>
    </w:p>
    <w:p w14:paraId="246445B0" w14:textId="2FA6DADE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2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Emission points subject to R307-313-5 shall operate with no visible emissions as measured according to 40 CFR 60, Appendix A, Method 9.</w:t>
      </w:r>
    </w:p>
    <w:p w14:paraId="35D244A2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5E9FD091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R307-313-6.  Recordkeeping.</w:t>
      </w:r>
    </w:p>
    <w:p w14:paraId="34114316" w14:textId="4300DF50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lastRenderedPageBreak/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1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The owner or operator shall</w:t>
      </w:r>
      <w:r>
        <w:rPr>
          <w:rFonts w:ascii="Courier" w:hAnsi="Courier" w:cs="Courier"/>
          <w:sz w:val="22"/>
          <w:szCs w:val="22"/>
          <w:u w:val="single"/>
        </w:rPr>
        <w:t>: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</w:t>
      </w:r>
    </w:p>
    <w:p w14:paraId="154778DD" w14:textId="4BDF0DAE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a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Retain a copy of the manufacturer’s recommendations for proper operation and maintenance of equipment </w:t>
      </w:r>
      <w:r w:rsidR="008C4B08">
        <w:rPr>
          <w:rFonts w:ascii="Courier" w:hAnsi="Courier" w:cs="Courier"/>
          <w:sz w:val="22"/>
          <w:szCs w:val="22"/>
          <w:u w:val="single"/>
        </w:rPr>
        <w:t>in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</w:t>
      </w:r>
      <w:r>
        <w:rPr>
          <w:rFonts w:ascii="Courier" w:hAnsi="Courier" w:cs="Courier"/>
          <w:sz w:val="22"/>
          <w:szCs w:val="22"/>
          <w:u w:val="single"/>
        </w:rPr>
        <w:t>Sections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R307-313</w:t>
      </w:r>
      <w:r>
        <w:rPr>
          <w:rFonts w:ascii="Courier" w:hAnsi="Courier" w:cs="Courier"/>
          <w:sz w:val="22"/>
          <w:szCs w:val="22"/>
          <w:u w:val="single"/>
        </w:rPr>
        <w:t>-4 and R307-313-5.</w:t>
      </w:r>
    </w:p>
    <w:p w14:paraId="71F46FE7" w14:textId="494A8E39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b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Establish a plan</w:t>
      </w:r>
      <w:r>
        <w:rPr>
          <w:rFonts w:ascii="Courier" w:hAnsi="Courier" w:cs="Courier"/>
          <w:sz w:val="22"/>
          <w:szCs w:val="22"/>
          <w:u w:val="single"/>
        </w:rPr>
        <w:t xml:space="preserve"> for scheduled maintenance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based upon these recommendations</w:t>
      </w:r>
      <w:r>
        <w:rPr>
          <w:rFonts w:ascii="Courier" w:hAnsi="Courier" w:cs="Courier"/>
          <w:sz w:val="22"/>
          <w:szCs w:val="22"/>
          <w:u w:val="single"/>
        </w:rPr>
        <w:t>.</w:t>
      </w:r>
    </w:p>
    <w:p w14:paraId="4975E4E8" w14:textId="5A46F160" w:rsidR="00DE7884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c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Maintain records showing proper operation and maintenance of equipment in accordance with the manufacturer’s recommendations </w:t>
      </w:r>
      <w:r w:rsidR="00D507CD">
        <w:rPr>
          <w:rFonts w:ascii="Courier" w:hAnsi="Courier" w:cs="Courier"/>
          <w:sz w:val="22"/>
          <w:szCs w:val="22"/>
          <w:u w:val="single"/>
        </w:rPr>
        <w:t xml:space="preserve">for equipment </w:t>
      </w:r>
      <w:r w:rsidRPr="000809F3">
        <w:rPr>
          <w:rFonts w:ascii="Courier" w:hAnsi="Courier" w:cs="Courier"/>
          <w:sz w:val="22"/>
          <w:szCs w:val="22"/>
          <w:u w:val="single"/>
        </w:rPr>
        <w:t>referenced in Section R307-313-4 and Section R307-313-5.</w:t>
      </w:r>
    </w:p>
    <w:p w14:paraId="4ADB7903" w14:textId="6DE6B268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>
        <w:rPr>
          <w:rFonts w:ascii="Courier" w:hAnsi="Courier" w:cs="Courier"/>
          <w:sz w:val="22"/>
          <w:szCs w:val="22"/>
          <w:u w:val="single"/>
        </w:rPr>
        <w:t>d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>
        <w:rPr>
          <w:rFonts w:ascii="Courier" w:hAnsi="Courier" w:cs="Courier"/>
          <w:sz w:val="22"/>
          <w:szCs w:val="22"/>
          <w:u w:val="single"/>
        </w:rPr>
        <w:t xml:space="preserve"> Maintain records of the temperature at which asphalt products were produced.</w:t>
      </w:r>
    </w:p>
    <w:p w14:paraId="60BE5509" w14:textId="4D9E39A2" w:rsidR="00DE7884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</w:r>
      <w:r w:rsidR="00F2052A">
        <w:rPr>
          <w:rFonts w:ascii="Courier" w:hAnsi="Courier" w:cs="Courier"/>
          <w:sz w:val="22"/>
          <w:szCs w:val="22"/>
          <w:u w:val="single"/>
        </w:rPr>
        <w:t>(</w:t>
      </w:r>
      <w:r w:rsidRPr="000809F3">
        <w:rPr>
          <w:rFonts w:ascii="Courier" w:hAnsi="Courier" w:cs="Courier"/>
          <w:sz w:val="22"/>
          <w:szCs w:val="22"/>
          <w:u w:val="single"/>
        </w:rPr>
        <w:t>2</w:t>
      </w:r>
      <w:r w:rsidR="00F2052A">
        <w:rPr>
          <w:rFonts w:ascii="Courier" w:hAnsi="Courier" w:cs="Courier"/>
          <w:sz w:val="22"/>
          <w:szCs w:val="22"/>
          <w:u w:val="single"/>
        </w:rPr>
        <w:t>)</w:t>
      </w:r>
      <w:r w:rsidRPr="000809F3">
        <w:rPr>
          <w:rFonts w:ascii="Courier" w:hAnsi="Courier" w:cs="Courier"/>
          <w:sz w:val="22"/>
          <w:szCs w:val="22"/>
          <w:u w:val="single"/>
        </w:rPr>
        <w:t>.</w:t>
      </w:r>
      <w:r w:rsidR="00F2052A">
        <w:rPr>
          <w:rFonts w:ascii="Courier" w:hAnsi="Courier" w:cs="Courier"/>
          <w:sz w:val="22"/>
          <w:szCs w:val="22"/>
          <w:u w:val="single"/>
        </w:rPr>
        <w:t xml:space="preserve"> 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These records shall be stored for at least 2 years and shall be made available to the director upon request.  </w:t>
      </w:r>
    </w:p>
    <w:p w14:paraId="00D11829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709880DC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R307-313-7.  Compliance Schedule.</w:t>
      </w:r>
    </w:p>
    <w:p w14:paraId="259458F5" w14:textId="77777777" w:rsidR="00DE7884" w:rsidRPr="000809F3" w:rsidRDefault="00DE7884" w:rsidP="00DE7884">
      <w:pPr>
        <w:rPr>
          <w:rFonts w:ascii="Courier" w:hAnsi="Courier" w:cs="Courier"/>
          <w:sz w:val="22"/>
          <w:szCs w:val="22"/>
          <w:u w:val="single"/>
        </w:rPr>
      </w:pPr>
      <w:r w:rsidRPr="000809F3">
        <w:rPr>
          <w:rFonts w:ascii="Courier" w:hAnsi="Courier" w:cs="Courier"/>
          <w:sz w:val="22"/>
          <w:szCs w:val="22"/>
          <w:u w:val="single"/>
        </w:rPr>
        <w:tab/>
        <w:t xml:space="preserve">The owners and operators of </w:t>
      </w:r>
      <w:r>
        <w:rPr>
          <w:rFonts w:ascii="Courier" w:hAnsi="Courier" w:cs="Courier"/>
          <w:sz w:val="22"/>
          <w:szCs w:val="22"/>
          <w:u w:val="single"/>
        </w:rPr>
        <w:t>hot mix asphalt</w:t>
      </w:r>
      <w:r w:rsidRPr="000809F3">
        <w:rPr>
          <w:rFonts w:ascii="Courier" w:hAnsi="Courier" w:cs="Courier"/>
          <w:sz w:val="22"/>
          <w:szCs w:val="22"/>
          <w:u w:val="single"/>
        </w:rPr>
        <w:t xml:space="preserve"> plants subject to Rule R307-313 shall comply with R307-313 by May 1, 2023.</w:t>
      </w:r>
    </w:p>
    <w:p w14:paraId="472576B6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0347F771" w14:textId="77777777" w:rsidR="00DE7884" w:rsidRPr="000809F3" w:rsidRDefault="00DE7884" w:rsidP="00DE7884">
      <w:pPr>
        <w:jc w:val="both"/>
        <w:rPr>
          <w:rFonts w:ascii="Courier" w:hAnsi="Courier" w:cs="Courier"/>
          <w:sz w:val="22"/>
          <w:szCs w:val="22"/>
          <w:u w:val="single"/>
        </w:rPr>
      </w:pPr>
    </w:p>
    <w:p w14:paraId="7AEC5CEC" w14:textId="77777777" w:rsidR="00DE7884" w:rsidRPr="000809F3" w:rsidRDefault="00DE7884" w:rsidP="00DE7884">
      <w:pPr>
        <w:jc w:val="both"/>
        <w:rPr>
          <w:rFonts w:ascii="Courier" w:hAnsi="Courier" w:cs="Courier"/>
          <w:b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KEY:  air pollution, volatile organic compounds, VOC, hot mix asphalt, asphalt, aggregate, blue smoke</w:t>
      </w:r>
    </w:p>
    <w:p w14:paraId="58B5D6C0" w14:textId="77777777" w:rsidR="00DE7884" w:rsidRPr="000809F3" w:rsidRDefault="00DE7884" w:rsidP="00DE7884">
      <w:pPr>
        <w:jc w:val="both"/>
        <w:rPr>
          <w:rFonts w:ascii="Courier" w:hAnsi="Courier" w:cs="Courier"/>
          <w:b/>
          <w:bCs/>
          <w:sz w:val="22"/>
          <w:szCs w:val="22"/>
          <w:u w:val="single"/>
        </w:rPr>
      </w:pPr>
      <w:r w:rsidRPr="000809F3">
        <w:rPr>
          <w:rFonts w:ascii="Courier" w:hAnsi="Courier" w:cs="Courier"/>
          <w:b/>
          <w:bCs/>
          <w:sz w:val="22"/>
          <w:szCs w:val="22"/>
          <w:u w:val="single"/>
        </w:rPr>
        <w:t>Date of Enactment or Last Substantive Amendment:</w:t>
      </w:r>
    </w:p>
    <w:p w14:paraId="52FC6ED2" w14:textId="77777777" w:rsidR="00DE7884" w:rsidRPr="000809F3" w:rsidRDefault="00DE7884" w:rsidP="00DE7884">
      <w:pPr>
        <w:rPr>
          <w:rFonts w:ascii="Courier" w:hAnsi="Courier" w:cs="Courier"/>
          <w:b/>
          <w:sz w:val="22"/>
          <w:szCs w:val="22"/>
          <w:u w:val="single"/>
        </w:rPr>
      </w:pPr>
      <w:r w:rsidRPr="000809F3">
        <w:rPr>
          <w:rFonts w:ascii="Courier" w:hAnsi="Courier" w:cs="Courier"/>
          <w:b/>
          <w:sz w:val="22"/>
          <w:szCs w:val="22"/>
          <w:u w:val="single"/>
        </w:rPr>
        <w:t>Authorizing, and Implemented or Interpreted Law:  19-2-104</w:t>
      </w:r>
    </w:p>
    <w:p w14:paraId="39345DC8" w14:textId="77777777" w:rsidR="00DE7884" w:rsidRDefault="00DE7884" w:rsidP="00DE7884"/>
    <w:p w14:paraId="28FEA649" w14:textId="77777777" w:rsidR="006A59DC" w:rsidRDefault="006A59DC" w:rsidP="00DE7884">
      <w:pPr>
        <w:widowControl/>
        <w:rPr>
          <w:rFonts w:ascii="Arial" w:eastAsia="Arial" w:hAnsi="Arial" w:cs="Arial"/>
          <w:color w:val="000000"/>
          <w:sz w:val="18"/>
          <w:szCs w:val="18"/>
        </w:rPr>
      </w:pPr>
    </w:p>
    <w:sectPr w:rsidR="006A59DC">
      <w:pgSz w:w="12240" w:h="15840"/>
      <w:pgMar w:top="720" w:right="720" w:bottom="720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C"/>
    <w:rsid w:val="000809F3"/>
    <w:rsid w:val="0009367A"/>
    <w:rsid w:val="001011AE"/>
    <w:rsid w:val="001200C2"/>
    <w:rsid w:val="0017050E"/>
    <w:rsid w:val="00171EEC"/>
    <w:rsid w:val="001C43C6"/>
    <w:rsid w:val="00272801"/>
    <w:rsid w:val="00340498"/>
    <w:rsid w:val="003979B0"/>
    <w:rsid w:val="005548D1"/>
    <w:rsid w:val="005938CC"/>
    <w:rsid w:val="005D6DF0"/>
    <w:rsid w:val="00637D38"/>
    <w:rsid w:val="00695824"/>
    <w:rsid w:val="006A59DC"/>
    <w:rsid w:val="00783692"/>
    <w:rsid w:val="008C4B08"/>
    <w:rsid w:val="008E12C9"/>
    <w:rsid w:val="00A91A02"/>
    <w:rsid w:val="00AD1820"/>
    <w:rsid w:val="00B1679D"/>
    <w:rsid w:val="00B333F0"/>
    <w:rsid w:val="00B528C3"/>
    <w:rsid w:val="00BC4641"/>
    <w:rsid w:val="00BF6649"/>
    <w:rsid w:val="00CA3A2F"/>
    <w:rsid w:val="00CE0D44"/>
    <w:rsid w:val="00D507CD"/>
    <w:rsid w:val="00DA51E4"/>
    <w:rsid w:val="00DE7884"/>
    <w:rsid w:val="00E75ECE"/>
    <w:rsid w:val="00EF63CE"/>
    <w:rsid w:val="00F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D01A"/>
  <w15:docId w15:val="{3E7AAAB1-2F46-4032-9A40-FA7F463F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F3B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semiHidden/>
    <w:rsid w:val="00550F3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semiHidden/>
    <w:rsid w:val="00550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customStyle="1" w:styleId="WW-Default">
    <w:name w:val="WW-Default"/>
    <w:uiPriority w:val="99"/>
    <w:rsid w:val="008E7D9B"/>
    <w:pPr>
      <w:autoSpaceDE w:val="0"/>
      <w:autoSpaceDN w:val="0"/>
      <w:adjustRightInd w:val="0"/>
    </w:pPr>
    <w:rPr>
      <w:rFonts w:ascii="Courier New" w:cs="Courier New"/>
      <w:sz w:val="24"/>
      <w:szCs w:val="24"/>
      <w:lang w:bidi="hi-IN"/>
    </w:rPr>
  </w:style>
  <w:style w:type="paragraph" w:customStyle="1" w:styleId="TableContents">
    <w:name w:val="Table Contents"/>
    <w:basedOn w:val="WW-Default"/>
    <w:uiPriority w:val="99"/>
    <w:rsid w:val="008E7D9B"/>
    <w:rPr>
      <w:lang w:bidi="ar-SA"/>
    </w:rPr>
  </w:style>
  <w:style w:type="paragraph" w:customStyle="1" w:styleId="WW-Default1">
    <w:name w:val="WW-Default1"/>
    <w:uiPriority w:val="99"/>
    <w:rsid w:val="000A63C1"/>
    <w:pPr>
      <w:autoSpaceDN w:val="0"/>
      <w:adjustRightInd w:val="0"/>
    </w:pPr>
    <w:rPr>
      <w:rFonts w:ascii="Calibri" w:cs="Calibri"/>
    </w:rPr>
  </w:style>
  <w:style w:type="paragraph" w:customStyle="1" w:styleId="p1">
    <w:name w:val="p1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2">
    <w:name w:val="p2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3">
    <w:name w:val="p3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eastAsiaTheme="minorHAnsi"/>
      <w:sz w:val="18"/>
      <w:szCs w:val="18"/>
    </w:rPr>
  </w:style>
  <w:style w:type="character" w:customStyle="1" w:styleId="s1">
    <w:name w:val="s1"/>
    <w:basedOn w:val="DefaultParagraphFont"/>
    <w:rsid w:val="004803F6"/>
    <w:rPr>
      <w:spacing w:val="-2"/>
    </w:rPr>
  </w:style>
  <w:style w:type="character" w:customStyle="1" w:styleId="apple-tab-span">
    <w:name w:val="apple-tab-span"/>
    <w:basedOn w:val="DefaultParagraphFont"/>
    <w:rsid w:val="004803F6"/>
  </w:style>
  <w:style w:type="character" w:customStyle="1" w:styleId="apple-converted-space">
    <w:name w:val="apple-converted-space"/>
    <w:basedOn w:val="DefaultParagraphFont"/>
    <w:rsid w:val="004803F6"/>
  </w:style>
  <w:style w:type="paragraph" w:styleId="ListParagraph">
    <w:name w:val="List Paragraph"/>
    <w:basedOn w:val="Normal"/>
    <w:uiPriority w:val="34"/>
    <w:qFormat/>
    <w:rsid w:val="009C2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56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5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5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6B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4429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A91A02"/>
    <w:pPr>
      <w:widowControl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mmPNux9gMNYMJ0lYMxi/y0RSg==">AMUW2mVksKc00SYUdVkLuZLcEev7texMXDI1EbikvmMCRIw3yLH/r9ciTef5HPiKmSVuHSs9VQkr9tTLKM+QBWwN5ta94uahvOlPqplnKSdYvuv/bWCNLd1TK3TC5lbWk3ko6ENJ8nh/d5SJz3amvdPeBYkCLSugnuNL1OOEJSIXMqwTnDH/ByM=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A8393A-23FC-43E4-B716-B0E63082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 WOOD</cp:lastModifiedBy>
  <cp:revision>2</cp:revision>
  <dcterms:created xsi:type="dcterms:W3CDTF">2022-10-17T21:26:00Z</dcterms:created>
  <dcterms:modified xsi:type="dcterms:W3CDTF">2022-10-17T21:26:00Z</dcterms:modified>
</cp:coreProperties>
</file>